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1EA9" w14:textId="77777777"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14:paraId="2D94BCAE" w14:textId="24ED0C8B" w:rsidR="00123A56" w:rsidRPr="001E4162" w:rsidRDefault="004801D7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6"/>
          <w:szCs w:val="26"/>
          <w:lang w:val="es-AR"/>
        </w:rPr>
      </w:pPr>
      <w:r w:rsidRPr="001E4162">
        <w:rPr>
          <w:rFonts w:cs="Arial"/>
          <w:b/>
          <w:sz w:val="26"/>
          <w:szCs w:val="26"/>
          <w:lang w:val="es-AR"/>
        </w:rPr>
        <w:t xml:space="preserve">Reporte de un caso: Stroke </w:t>
      </w:r>
      <w:proofErr w:type="spellStart"/>
      <w:r w:rsidRPr="001E4162">
        <w:rPr>
          <w:rFonts w:cs="Arial"/>
          <w:b/>
          <w:sz w:val="26"/>
          <w:szCs w:val="26"/>
          <w:lang w:val="es-AR"/>
        </w:rPr>
        <w:t>Mimic</w:t>
      </w:r>
      <w:proofErr w:type="spellEnd"/>
      <w:r w:rsidRPr="001E4162">
        <w:rPr>
          <w:rFonts w:cs="Arial"/>
          <w:b/>
          <w:sz w:val="26"/>
          <w:szCs w:val="26"/>
          <w:lang w:val="es-AR"/>
        </w:rPr>
        <w:t xml:space="preserve"> en presentación de Púrpura Trombocitopénica Trombótica</w:t>
      </w:r>
    </w:p>
    <w:p w14:paraId="3E171862" w14:textId="77777777" w:rsidR="00123A56" w:rsidRPr="004801D7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lang w:val="es-AR"/>
        </w:rPr>
      </w:pPr>
    </w:p>
    <w:p w14:paraId="170F31C9" w14:textId="5F16BAF7" w:rsidR="00123A56" w:rsidRPr="001E4162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FF0000"/>
          <w:sz w:val="20"/>
          <w:szCs w:val="20"/>
          <w:lang w:val="es-AR"/>
        </w:rPr>
      </w:pPr>
      <w:r w:rsidRPr="001E4162">
        <w:rPr>
          <w:b/>
          <w:bCs/>
          <w:sz w:val="20"/>
          <w:szCs w:val="20"/>
          <w:lang w:val="es-AR"/>
        </w:rPr>
        <w:t>Autores</w:t>
      </w:r>
      <w:r w:rsidR="004801D7" w:rsidRPr="001E4162">
        <w:rPr>
          <w:b/>
          <w:bCs/>
          <w:sz w:val="20"/>
          <w:szCs w:val="20"/>
          <w:lang w:val="es-AR"/>
        </w:rPr>
        <w:t xml:space="preserve">: </w:t>
      </w:r>
      <w:r w:rsidR="004801D7" w:rsidRPr="001E4162">
        <w:rPr>
          <w:b/>
          <w:bCs/>
          <w:sz w:val="20"/>
          <w:szCs w:val="20"/>
          <w:lang w:val="es-ES"/>
        </w:rPr>
        <w:t xml:space="preserve">Caporale S, Fariña S, </w:t>
      </w:r>
      <w:proofErr w:type="spellStart"/>
      <w:r w:rsidR="004801D7" w:rsidRPr="001E4162">
        <w:rPr>
          <w:b/>
          <w:bCs/>
          <w:sz w:val="20"/>
          <w:szCs w:val="20"/>
          <w:lang w:val="es-ES"/>
        </w:rPr>
        <w:t>Deschle</w:t>
      </w:r>
      <w:proofErr w:type="spellEnd"/>
      <w:r w:rsidR="004801D7" w:rsidRPr="001E4162">
        <w:rPr>
          <w:b/>
          <w:bCs/>
          <w:sz w:val="20"/>
          <w:szCs w:val="20"/>
          <w:lang w:val="es-ES"/>
        </w:rPr>
        <w:t xml:space="preserve"> F, Povedano G, </w:t>
      </w:r>
      <w:r w:rsidR="001E4162" w:rsidRPr="001E4162">
        <w:rPr>
          <w:b/>
          <w:bCs/>
          <w:sz w:val="20"/>
          <w:szCs w:val="20"/>
          <w:lang w:val="es-ES"/>
        </w:rPr>
        <w:t xml:space="preserve">Delgado S, </w:t>
      </w:r>
      <w:r w:rsidR="004801D7" w:rsidRPr="001E4162">
        <w:rPr>
          <w:b/>
          <w:bCs/>
          <w:sz w:val="20"/>
          <w:szCs w:val="20"/>
          <w:lang w:val="es-ES"/>
        </w:rPr>
        <w:t xml:space="preserve">Santajuliana F, Pozo J, De Sampaio M, </w:t>
      </w:r>
      <w:proofErr w:type="spellStart"/>
      <w:r w:rsidR="004801D7" w:rsidRPr="001E4162">
        <w:rPr>
          <w:b/>
          <w:bCs/>
          <w:sz w:val="20"/>
          <w:szCs w:val="20"/>
          <w:lang w:val="es-ES"/>
        </w:rPr>
        <w:t>Carra</w:t>
      </w:r>
      <w:proofErr w:type="spellEnd"/>
      <w:r w:rsidR="004801D7" w:rsidRPr="001E4162">
        <w:rPr>
          <w:b/>
          <w:bCs/>
          <w:sz w:val="20"/>
          <w:szCs w:val="20"/>
          <w:lang w:val="es-ES"/>
        </w:rPr>
        <w:t xml:space="preserve"> A.</w:t>
      </w:r>
    </w:p>
    <w:p w14:paraId="3F6F506E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14:paraId="2C6D5ED5" w14:textId="0D827EF7" w:rsidR="00123A56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Servicio</w:t>
      </w:r>
      <w:r w:rsidR="00F21B98">
        <w:rPr>
          <w:b/>
          <w:bCs/>
          <w:sz w:val="22"/>
          <w:szCs w:val="22"/>
          <w:lang w:val="es-AR"/>
        </w:rPr>
        <w:t>:</w:t>
      </w:r>
      <w:r w:rsidR="004801D7">
        <w:rPr>
          <w:b/>
          <w:bCs/>
          <w:sz w:val="22"/>
          <w:szCs w:val="22"/>
          <w:lang w:val="es-AR"/>
        </w:rPr>
        <w:t xml:space="preserve"> Neurología</w:t>
      </w:r>
    </w:p>
    <w:p w14:paraId="7ADBE72B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61405BFF" w14:textId="6FEFFA57" w:rsidR="00123A56" w:rsidRDefault="00123A56" w:rsidP="0048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  <w:r>
        <w:rPr>
          <w:b/>
          <w:bCs/>
          <w:sz w:val="22"/>
          <w:szCs w:val="22"/>
          <w:lang w:val="es-VE"/>
        </w:rPr>
        <w:t xml:space="preserve">Correo electrónico: </w:t>
      </w:r>
      <w:r w:rsidR="001E4162" w:rsidRPr="001E4162">
        <w:rPr>
          <w:b/>
          <w:bCs/>
          <w:sz w:val="22"/>
          <w:szCs w:val="22"/>
          <w:lang w:val="es-VE"/>
        </w:rPr>
        <w:t>residencianeurochurruca@gmail.com</w:t>
      </w:r>
      <w:r w:rsidR="001E4162">
        <w:rPr>
          <w:b/>
          <w:bCs/>
          <w:sz w:val="22"/>
          <w:szCs w:val="22"/>
          <w:lang w:val="es-VE"/>
        </w:rPr>
        <w:t xml:space="preserve"> - </w:t>
      </w:r>
      <w:r w:rsidR="00F21B98">
        <w:rPr>
          <w:b/>
          <w:bCs/>
          <w:sz w:val="22"/>
          <w:szCs w:val="22"/>
          <w:lang w:val="es-VE"/>
        </w:rPr>
        <w:t>I</w:t>
      </w:r>
      <w:r>
        <w:rPr>
          <w:b/>
          <w:bCs/>
          <w:sz w:val="22"/>
          <w:szCs w:val="22"/>
          <w:lang w:val="es-VE"/>
        </w:rPr>
        <w:t xml:space="preserve">nterno: </w:t>
      </w:r>
      <w:r w:rsidR="004801D7">
        <w:rPr>
          <w:b/>
          <w:bCs/>
          <w:sz w:val="22"/>
          <w:szCs w:val="22"/>
          <w:lang w:val="es-VE"/>
        </w:rPr>
        <w:t>4935</w:t>
      </w:r>
    </w:p>
    <w:p w14:paraId="7D163DBE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594BA8BE" w14:textId="77777777" w:rsidR="00AC7AA7" w:rsidRDefault="00B7066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Introducción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</w:p>
    <w:p w14:paraId="38F5082B" w14:textId="2DCDCF67" w:rsidR="00212203" w:rsidRDefault="004801D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4801D7">
        <w:rPr>
          <w:rFonts w:cs="Calibri"/>
          <w:color w:val="000000"/>
          <w:sz w:val="22"/>
          <w:szCs w:val="20"/>
          <w:lang w:val="es-ES"/>
        </w:rPr>
        <w:t xml:space="preserve">La Purpura Trombocitopénica Trombótica (PTT) es una forma de Microangiopatía Trombótica (MAT) caracterizada por anemia hemolítica microangiopática, trombocitopenia y deficiencia severa de ADAMTS13. Puede ser de tipo adquirida o hereditaria, siendo la PTT adquirida generalmente idiopática. La incidencia de PTT por autoanticuerpos anti-ADAMTS13 en adultos es de 2,9 casos por millón/año, con la mayor frecuencia entre los 18 y 50 años y el sexo femenino (3:1). Puede acompañarse de fiebre, síntomas gastrointestinales, signos de falla renal o cardíaca y manifestaciones neurológicas fluctuantes como cefalea o confusión, y en raras ocasionas, convulsiones, déficit motor focal o coma. </w:t>
      </w:r>
    </w:p>
    <w:p w14:paraId="2B473D0D" w14:textId="77777777" w:rsidR="00212203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66FDF6FC" w14:textId="77777777" w:rsidR="00212203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bCs/>
          <w:color w:val="000000"/>
          <w:sz w:val="22"/>
          <w:szCs w:val="20"/>
          <w:lang w:val="es-AR"/>
        </w:rPr>
      </w:pP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Objetivos:</w:t>
      </w:r>
    </w:p>
    <w:p w14:paraId="7E02DFA6" w14:textId="4F4AE00F" w:rsidR="004801D7" w:rsidRPr="00212203" w:rsidRDefault="004801D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bCs/>
          <w:color w:val="000000"/>
          <w:sz w:val="22"/>
          <w:szCs w:val="20"/>
          <w:lang w:val="es-AR"/>
        </w:rPr>
      </w:pPr>
      <w:r w:rsidRPr="004801D7">
        <w:rPr>
          <w:rFonts w:cs="Calibri"/>
          <w:color w:val="000000"/>
          <w:sz w:val="22"/>
          <w:szCs w:val="20"/>
          <w:lang w:val="es-ES"/>
        </w:rPr>
        <w:t xml:space="preserve">Se presenta un caso de PTT adquirida, por su atípica forma de presentación como Stroke </w:t>
      </w:r>
      <w:proofErr w:type="spellStart"/>
      <w:r w:rsidRPr="004801D7">
        <w:rPr>
          <w:rFonts w:cs="Calibri"/>
          <w:color w:val="000000"/>
          <w:sz w:val="22"/>
          <w:szCs w:val="20"/>
          <w:lang w:val="es-ES"/>
        </w:rPr>
        <w:t>Mimic</w:t>
      </w:r>
      <w:proofErr w:type="spellEnd"/>
      <w:r w:rsidRPr="004801D7">
        <w:rPr>
          <w:rFonts w:cs="Calibri"/>
          <w:color w:val="000000"/>
          <w:sz w:val="22"/>
          <w:szCs w:val="20"/>
          <w:lang w:val="es-ES"/>
        </w:rPr>
        <w:t xml:space="preserve"> con afasia global.</w:t>
      </w:r>
    </w:p>
    <w:p w14:paraId="672F86DB" w14:textId="77777777" w:rsidR="00BB3285" w:rsidRPr="00AC7AA7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14:paraId="25557B44" w14:textId="77777777" w:rsidR="00BB3285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Material y método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</w:p>
    <w:p w14:paraId="088DA2C4" w14:textId="77777777" w:rsidR="004801D7" w:rsidRPr="004801D7" w:rsidRDefault="004801D7" w:rsidP="0048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4801D7">
        <w:rPr>
          <w:rFonts w:cs="Calibri"/>
          <w:color w:val="000000"/>
          <w:sz w:val="22"/>
          <w:szCs w:val="20"/>
          <w:lang w:val="es-ES"/>
        </w:rPr>
        <w:t xml:space="preserve">Paciente masculino de 27 </w:t>
      </w:r>
      <w:proofErr w:type="gramStart"/>
      <w:r w:rsidRPr="004801D7">
        <w:rPr>
          <w:rFonts w:cs="Calibri"/>
          <w:color w:val="000000"/>
          <w:sz w:val="22"/>
          <w:szCs w:val="20"/>
          <w:lang w:val="es-ES"/>
        </w:rPr>
        <w:t>años de edad</w:t>
      </w:r>
      <w:proofErr w:type="gramEnd"/>
      <w:r w:rsidRPr="004801D7">
        <w:rPr>
          <w:rFonts w:cs="Calibri"/>
          <w:color w:val="000000"/>
          <w:sz w:val="22"/>
          <w:szCs w:val="20"/>
          <w:lang w:val="es-ES"/>
        </w:rPr>
        <w:t xml:space="preserve">, con antecedente de tabaquismo activo, ingresa a unidad de emergencias por trastorno del lenguaje de inicio súbito, de 90 minutos de evolución. Al examen físico neurológico presentaba afasia global, hemianopsia temporal derecha, paresia facial derecha leve y paresia braquial derecha leve (NIHSS 8 puntos). Se realiza TC de encéfalo sin signos de isquemia o sangrado a nivel intra o </w:t>
      </w:r>
      <w:proofErr w:type="spellStart"/>
      <w:r w:rsidRPr="004801D7">
        <w:rPr>
          <w:rFonts w:cs="Calibri"/>
          <w:color w:val="000000"/>
          <w:sz w:val="22"/>
          <w:szCs w:val="20"/>
          <w:lang w:val="es-ES"/>
        </w:rPr>
        <w:t>extraaxial</w:t>
      </w:r>
      <w:proofErr w:type="spellEnd"/>
      <w:r w:rsidRPr="004801D7">
        <w:rPr>
          <w:rFonts w:cs="Calibri"/>
          <w:color w:val="000000"/>
          <w:sz w:val="22"/>
          <w:szCs w:val="20"/>
          <w:lang w:val="es-ES"/>
        </w:rPr>
        <w:t xml:space="preserve">, RMN de encéfalo que no muestra alteraciones en la intensidad de señal proveniente del parénquima encefálico, AngioRMN de vasos intra y extracraneanos con buena señal de flujo de los principales vasos evaluados. Sin embargo, el paciente es excluido de protocolo de </w:t>
      </w:r>
      <w:proofErr w:type="spellStart"/>
      <w:r w:rsidRPr="004801D7">
        <w:rPr>
          <w:rFonts w:cs="Calibri"/>
          <w:color w:val="000000"/>
          <w:sz w:val="22"/>
          <w:szCs w:val="20"/>
          <w:lang w:val="es-ES"/>
        </w:rPr>
        <w:t>trombolisis</w:t>
      </w:r>
      <w:proofErr w:type="spellEnd"/>
      <w:r w:rsidRPr="004801D7">
        <w:rPr>
          <w:rFonts w:cs="Calibri"/>
          <w:color w:val="000000"/>
          <w:sz w:val="22"/>
          <w:szCs w:val="20"/>
          <w:lang w:val="es-ES"/>
        </w:rPr>
        <w:t xml:space="preserve"> con </w:t>
      </w:r>
      <w:proofErr w:type="spellStart"/>
      <w:r w:rsidRPr="004801D7">
        <w:rPr>
          <w:rFonts w:cs="Calibri"/>
          <w:color w:val="000000"/>
          <w:sz w:val="22"/>
          <w:szCs w:val="20"/>
          <w:lang w:val="es-ES"/>
        </w:rPr>
        <w:t>rTPA</w:t>
      </w:r>
      <w:proofErr w:type="spellEnd"/>
      <w:r w:rsidRPr="004801D7">
        <w:rPr>
          <w:rFonts w:cs="Calibri"/>
          <w:color w:val="000000"/>
          <w:sz w:val="22"/>
          <w:szCs w:val="20"/>
          <w:lang w:val="es-ES"/>
        </w:rPr>
        <w:t xml:space="preserve"> tras obtenerse laboratorio de rutina que </w:t>
      </w:r>
      <w:proofErr w:type="gramStart"/>
      <w:r w:rsidRPr="004801D7">
        <w:rPr>
          <w:rFonts w:cs="Calibri"/>
          <w:color w:val="000000"/>
          <w:sz w:val="22"/>
          <w:szCs w:val="20"/>
          <w:lang w:val="es-ES"/>
        </w:rPr>
        <w:t>evidencia  plaquetopenia</w:t>
      </w:r>
      <w:proofErr w:type="gramEnd"/>
      <w:r w:rsidRPr="004801D7">
        <w:rPr>
          <w:rFonts w:cs="Calibri"/>
          <w:color w:val="000000"/>
          <w:sz w:val="22"/>
          <w:szCs w:val="20"/>
          <w:lang w:val="es-ES"/>
        </w:rPr>
        <w:t xml:space="preserve"> severa y anemia, de características hemolíticas.</w:t>
      </w:r>
    </w:p>
    <w:p w14:paraId="7FD6925D" w14:textId="77777777" w:rsidR="00CA3419" w:rsidRDefault="00CA3419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65B9EE72" w14:textId="77777777" w:rsidR="001E3C0B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</w:p>
    <w:p w14:paraId="0389E147" w14:textId="77777777" w:rsidR="004801D7" w:rsidRPr="004801D7" w:rsidRDefault="004801D7" w:rsidP="0048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Al interrogatorio dirigido, familiares agregan cefalea, episodios de </w:t>
      </w:r>
      <w:proofErr w:type="gramStart"/>
      <w:r w:rsidRPr="004801D7">
        <w:rPr>
          <w:rFonts w:cs="Calibri"/>
          <w:bCs/>
          <w:color w:val="000000"/>
          <w:sz w:val="22"/>
          <w:szCs w:val="20"/>
          <w:lang w:val="es-ES"/>
        </w:rPr>
        <w:t>epistaxis  autolimitada</w:t>
      </w:r>
      <w:proofErr w:type="gramEnd"/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, registro subfebriles y odinofagia de una semana de evolución. Se solicita valoración por Servicio de Hematología quienes realizan Punción Aspiración de Medula Ósea sin evidencia de elementos inmaduros y Frotis de Sangre </w:t>
      </w:r>
      <w:proofErr w:type="gramStart"/>
      <w:r w:rsidRPr="004801D7">
        <w:rPr>
          <w:rFonts w:cs="Calibri"/>
          <w:bCs/>
          <w:color w:val="000000"/>
          <w:sz w:val="22"/>
          <w:szCs w:val="20"/>
          <w:lang w:val="es-ES"/>
        </w:rPr>
        <w:t>Periférica  con</w:t>
      </w:r>
      <w:proofErr w:type="gramEnd"/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 hallazgo de Esquistocitos, arribando al diagnóstico de MAT, con sospecha de PTT, por lo que se indica internación en unidad cerrada e inicio de tratamiento con Plasmaféresis y Pulsos de corticoides. Se reevalúa al paciente a las 24 horas, con restitución a examen físico neurológico normal. Se repite RMN de encéfalo a las 72hs, descartándose evento cerebrovascular agudo. Completa tratamiento con terapia de recambio plasmático durante tres semanas, asociado a corticoterapia vía oral, con excelente respuesta terapéutica, externándose luego de 25 días. </w:t>
      </w:r>
    </w:p>
    <w:p w14:paraId="5B941AC9" w14:textId="77777777" w:rsidR="004801D7" w:rsidRPr="004801D7" w:rsidRDefault="004801D7" w:rsidP="0048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 w:rsidRPr="004801D7">
        <w:rPr>
          <w:rFonts w:cs="Calibri"/>
          <w:bCs/>
          <w:color w:val="000000"/>
          <w:sz w:val="22"/>
          <w:szCs w:val="20"/>
          <w:lang w:val="es-ES"/>
        </w:rPr>
        <w:t>Se obtiene posteriormente resultado de Actividad de ADAMTS13 disminuido y Anticuerpos Anti-ADAMTS13 positivos, confirmándose el diagnóstico etiológico de PTT.</w:t>
      </w:r>
    </w:p>
    <w:p w14:paraId="234A767C" w14:textId="77777777"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7AB04803" w14:textId="77777777" w:rsidR="001E3C0B" w:rsidRPr="004801D7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</w:p>
    <w:p w14:paraId="57C79A8B" w14:textId="5EEFB0CA" w:rsidR="00BB3285" w:rsidRDefault="004801D7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ES"/>
        </w:rPr>
      </w:pPr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La PTT es una patología que se caracteriza por la presencia de síntomas neurológicos, como cefalea y confusión, siendo su presentación como Stroke </w:t>
      </w:r>
      <w:proofErr w:type="spellStart"/>
      <w:r w:rsidRPr="004801D7">
        <w:rPr>
          <w:rFonts w:cs="Calibri"/>
          <w:bCs/>
          <w:color w:val="000000"/>
          <w:sz w:val="22"/>
          <w:szCs w:val="20"/>
          <w:lang w:val="es-ES"/>
        </w:rPr>
        <w:t>Mimic</w:t>
      </w:r>
      <w:proofErr w:type="spellEnd"/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 poco frecuente. La descripción de este caso busca a su vez destacar la relevancia de la utilización del criterio médico ante la indicación del tratamiento trombolítico en pacientes cuyo grupo etario y factores de riesgo asociados </w:t>
      </w:r>
      <w:proofErr w:type="gramStart"/>
      <w:r w:rsidRPr="004801D7">
        <w:rPr>
          <w:rFonts w:cs="Calibri"/>
          <w:bCs/>
          <w:color w:val="000000"/>
          <w:sz w:val="22"/>
          <w:szCs w:val="20"/>
          <w:lang w:val="es-ES"/>
        </w:rPr>
        <w:t>alejan  en</w:t>
      </w:r>
      <w:proofErr w:type="gramEnd"/>
      <w:r w:rsidRPr="004801D7">
        <w:rPr>
          <w:rFonts w:cs="Calibri"/>
          <w:bCs/>
          <w:color w:val="000000"/>
          <w:sz w:val="22"/>
          <w:szCs w:val="20"/>
          <w:lang w:val="es-ES"/>
        </w:rPr>
        <w:t xml:space="preserve"> primer instancia a la sospecha diagnóstica de una etiología aterotrombótica.</w:t>
      </w:r>
    </w:p>
    <w:p w14:paraId="3D1131B3" w14:textId="77777777" w:rsidR="00985F7F" w:rsidRDefault="00985F7F" w:rsidP="0098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ES"/>
        </w:rPr>
      </w:pPr>
    </w:p>
    <w:p w14:paraId="0F42FEB1" w14:textId="3C2BA52E" w:rsidR="00985F7F" w:rsidRPr="004801D7" w:rsidRDefault="00985F7F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>
        <w:rPr>
          <w:rFonts w:cs="Calibri"/>
          <w:bCs/>
          <w:color w:val="000000"/>
          <w:sz w:val="22"/>
          <w:szCs w:val="20"/>
          <w:lang w:val="es-ES"/>
        </w:rPr>
        <w:t xml:space="preserve">NOTA: ESTE TRABAJO FUE PRESENTADO EN </w:t>
      </w:r>
      <w:r>
        <w:rPr>
          <w:rFonts w:cs="Calibri"/>
          <w:bCs/>
          <w:color w:val="000000"/>
          <w:sz w:val="22"/>
          <w:szCs w:val="20"/>
          <w:lang w:val="es-ES"/>
        </w:rPr>
        <w:t xml:space="preserve">EL </w:t>
      </w:r>
      <w:r>
        <w:rPr>
          <w:rFonts w:cs="Calibri"/>
          <w:bCs/>
          <w:color w:val="000000"/>
          <w:sz w:val="22"/>
          <w:szCs w:val="20"/>
          <w:lang w:val="es-ES"/>
        </w:rPr>
        <w:t>CONGRESO</w:t>
      </w:r>
      <w:r>
        <w:rPr>
          <w:rFonts w:cs="Calibri"/>
          <w:bCs/>
          <w:color w:val="000000"/>
          <w:sz w:val="22"/>
          <w:szCs w:val="20"/>
          <w:lang w:val="es-ES"/>
        </w:rPr>
        <w:t xml:space="preserve"> ARGENTINO DE NEUROLOGIA</w:t>
      </w:r>
    </w:p>
    <w:sectPr w:rsidR="00985F7F" w:rsidRPr="004801D7" w:rsidSect="00123A56">
      <w:footerReference w:type="even" r:id="rId7"/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3DC3" w14:textId="77777777" w:rsidR="00981B9C" w:rsidRDefault="00981B9C">
      <w:r>
        <w:separator/>
      </w:r>
    </w:p>
  </w:endnote>
  <w:endnote w:type="continuationSeparator" w:id="0">
    <w:p w14:paraId="74C92F71" w14:textId="77777777" w:rsidR="00981B9C" w:rsidRDefault="0098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27EB" w14:textId="77777777" w:rsidR="00D56F61" w:rsidRDefault="00165639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6F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043D42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7BBE" w14:textId="77777777" w:rsidR="00D56F61" w:rsidRDefault="00165639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6F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2C1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FAFB7F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7171" w14:textId="77777777" w:rsidR="00981B9C" w:rsidRDefault="00981B9C">
      <w:r>
        <w:separator/>
      </w:r>
    </w:p>
  </w:footnote>
  <w:footnote w:type="continuationSeparator" w:id="0">
    <w:p w14:paraId="033EA619" w14:textId="77777777" w:rsidR="00981B9C" w:rsidRDefault="0098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46393">
    <w:abstractNumId w:val="17"/>
  </w:num>
  <w:num w:numId="2" w16cid:durableId="1862891749">
    <w:abstractNumId w:val="14"/>
  </w:num>
  <w:num w:numId="3" w16cid:durableId="1026831870">
    <w:abstractNumId w:val="9"/>
  </w:num>
  <w:num w:numId="4" w16cid:durableId="922186340">
    <w:abstractNumId w:val="8"/>
  </w:num>
  <w:num w:numId="5" w16cid:durableId="912620127">
    <w:abstractNumId w:val="21"/>
  </w:num>
  <w:num w:numId="6" w16cid:durableId="137958754">
    <w:abstractNumId w:val="0"/>
  </w:num>
  <w:num w:numId="7" w16cid:durableId="552036847">
    <w:abstractNumId w:val="2"/>
  </w:num>
  <w:num w:numId="8" w16cid:durableId="1207790130">
    <w:abstractNumId w:val="5"/>
  </w:num>
  <w:num w:numId="9" w16cid:durableId="669716239">
    <w:abstractNumId w:val="16"/>
  </w:num>
  <w:num w:numId="10" w16cid:durableId="1060640622">
    <w:abstractNumId w:val="6"/>
  </w:num>
  <w:num w:numId="11" w16cid:durableId="265191068">
    <w:abstractNumId w:val="18"/>
  </w:num>
  <w:num w:numId="12" w16cid:durableId="1518691246">
    <w:abstractNumId w:val="1"/>
  </w:num>
  <w:num w:numId="13" w16cid:durableId="1603802463">
    <w:abstractNumId w:val="4"/>
  </w:num>
  <w:num w:numId="14" w16cid:durableId="1968394742">
    <w:abstractNumId w:val="7"/>
  </w:num>
  <w:num w:numId="15" w16cid:durableId="562102792">
    <w:abstractNumId w:val="12"/>
  </w:num>
  <w:num w:numId="16" w16cid:durableId="435371596">
    <w:abstractNumId w:val="20"/>
  </w:num>
  <w:num w:numId="17" w16cid:durableId="1851720489">
    <w:abstractNumId w:val="11"/>
  </w:num>
  <w:num w:numId="18" w16cid:durableId="731196168">
    <w:abstractNumId w:val="10"/>
  </w:num>
  <w:num w:numId="19" w16cid:durableId="1013722205">
    <w:abstractNumId w:val="19"/>
  </w:num>
  <w:num w:numId="20" w16cid:durableId="1934436796">
    <w:abstractNumId w:val="15"/>
  </w:num>
  <w:num w:numId="21" w16cid:durableId="1696929757">
    <w:abstractNumId w:val="13"/>
  </w:num>
  <w:num w:numId="22" w16cid:durableId="64454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739"/>
    <w:rsid w:val="000E4A71"/>
    <w:rsid w:val="000E5DBD"/>
    <w:rsid w:val="000E5FB2"/>
    <w:rsid w:val="000E7BAC"/>
    <w:rsid w:val="000F062B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5639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64AD"/>
    <w:rsid w:val="001E16AE"/>
    <w:rsid w:val="001E30A0"/>
    <w:rsid w:val="001E3C0B"/>
    <w:rsid w:val="001E4162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01D7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4E5F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C48B1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769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1B9C"/>
    <w:rsid w:val="00983C4A"/>
    <w:rsid w:val="00985F7F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2C1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93CD6"/>
  <w15:docId w15:val="{1838F630-08CF-4C04-9108-458B7FE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639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480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character" w:customStyle="1" w:styleId="Ttulo2Car">
    <w:name w:val="Título 2 Car"/>
    <w:basedOn w:val="Fuentedeprrafopredeter"/>
    <w:link w:val="Ttulo2"/>
    <w:rsid w:val="004801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E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Genzyme</dc:creator>
  <cp:lastModifiedBy>Juan Antonio Pozo Putalivo</cp:lastModifiedBy>
  <cp:revision>4</cp:revision>
  <cp:lastPrinted>2017-03-01T11:23:00Z</cp:lastPrinted>
  <dcterms:created xsi:type="dcterms:W3CDTF">2023-10-06T19:05:00Z</dcterms:created>
  <dcterms:modified xsi:type="dcterms:W3CDTF">2023-10-06T19:13:00Z</dcterms:modified>
</cp:coreProperties>
</file>